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4D273" w14:textId="77777777" w:rsidR="00277DF2" w:rsidRDefault="009174B2" w:rsidP="009174B2">
      <w:pPr>
        <w:contextualSpacing w:val="0"/>
        <w:jc w:val="center"/>
        <w:rPr>
          <w:rFonts w:ascii="Calibri" w:eastAsia="Calibri" w:hAnsi="Calibri" w:cs="Calibri"/>
          <w:b/>
          <w:color w:val="FF0000"/>
        </w:rPr>
      </w:pPr>
      <w:r>
        <w:rPr>
          <w:noProof/>
          <w:lang w:val="en-US" w:eastAsia="en-US" w:bidi="th-TH"/>
        </w:rPr>
        <w:drawing>
          <wp:inline distT="114300" distB="114300" distL="114300" distR="114300" wp14:anchorId="27E94D47" wp14:editId="3C465FB4">
            <wp:extent cx="1562100" cy="77089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r="37696"/>
                    <a:stretch>
                      <a:fillRect/>
                    </a:stretch>
                  </pic:blipFill>
                  <pic:spPr>
                    <a:xfrm>
                      <a:off x="0" y="0"/>
                      <a:ext cx="1568236" cy="773918"/>
                    </a:xfrm>
                    <a:prstGeom prst="rect">
                      <a:avLst/>
                    </a:prstGeom>
                    <a:ln/>
                  </pic:spPr>
                </pic:pic>
              </a:graphicData>
            </a:graphic>
          </wp:inline>
        </w:drawing>
      </w:r>
      <w:r>
        <w:rPr>
          <w:noProof/>
          <w:lang w:val="en-US" w:eastAsia="en-US" w:bidi="th-TH"/>
        </w:rPr>
        <w:drawing>
          <wp:inline distT="114300" distB="114300" distL="114300" distR="114300" wp14:anchorId="72D25E18" wp14:editId="0B70B988">
            <wp:extent cx="1285875" cy="638175"/>
            <wp:effectExtent l="0" t="0" r="9525" b="9525"/>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285875" cy="638175"/>
                    </a:xfrm>
                    <a:prstGeom prst="rect">
                      <a:avLst/>
                    </a:prstGeom>
                    <a:ln/>
                  </pic:spPr>
                </pic:pic>
              </a:graphicData>
            </a:graphic>
          </wp:inline>
        </w:drawing>
      </w:r>
    </w:p>
    <w:p w14:paraId="535A70C6" w14:textId="77777777" w:rsidR="00277DF2" w:rsidRDefault="009174B2">
      <w:pPr>
        <w:contextualSpacing w:val="0"/>
        <w:rPr>
          <w:rFonts w:ascii="Calibri" w:eastAsia="Calibri" w:hAnsi="Calibri" w:cs="Calibri"/>
          <w:b/>
        </w:rPr>
      </w:pPr>
      <w:r>
        <w:rPr>
          <w:rFonts w:ascii="Calibri" w:eastAsia="Calibri" w:hAnsi="Calibri" w:cs="Calibri"/>
          <w:b/>
          <w:color w:val="FF0000"/>
        </w:rPr>
        <w:t xml:space="preserve"> </w:t>
      </w:r>
    </w:p>
    <w:p w14:paraId="4FA54474" w14:textId="6B6C4391" w:rsidR="00277DF2" w:rsidRDefault="00B72EE2">
      <w:pPr>
        <w:contextualSpacing w:val="0"/>
        <w:rPr>
          <w:rFonts w:ascii="Calibri" w:eastAsia="Calibri" w:hAnsi="Calibri" w:cs="Calibri"/>
          <w:b/>
          <w:sz w:val="28"/>
          <w:szCs w:val="28"/>
        </w:rPr>
      </w:pPr>
      <w:r>
        <w:rPr>
          <w:rFonts w:ascii="Calibri" w:eastAsia="Calibri" w:hAnsi="Calibri" w:cs="Calibri"/>
          <w:b/>
          <w:sz w:val="28"/>
          <w:szCs w:val="28"/>
        </w:rPr>
        <w:t>PRESS RELEASE</w:t>
      </w:r>
    </w:p>
    <w:p w14:paraId="123FFEE5" w14:textId="77777777" w:rsidR="00277DF2" w:rsidRDefault="00B72EE2">
      <w:pPr>
        <w:contextualSpacing w:val="0"/>
        <w:rPr>
          <w:rFonts w:ascii="Calibri" w:eastAsia="Calibri" w:hAnsi="Calibri" w:cs="Calibri"/>
          <w:b/>
          <w:sz w:val="28"/>
          <w:szCs w:val="28"/>
        </w:rPr>
      </w:pPr>
      <w:r>
        <w:rPr>
          <w:rFonts w:ascii="Calibri" w:eastAsia="Calibri" w:hAnsi="Calibri" w:cs="Calibri"/>
          <w:b/>
          <w:sz w:val="28"/>
          <w:szCs w:val="28"/>
        </w:rPr>
        <w:t xml:space="preserve"> </w:t>
      </w:r>
    </w:p>
    <w:p w14:paraId="3C22481F" w14:textId="77777777" w:rsidR="00277DF2" w:rsidRDefault="00B72EE2">
      <w:pPr>
        <w:contextualSpacing w:val="0"/>
        <w:jc w:val="center"/>
        <w:rPr>
          <w:rFonts w:ascii="Calibri" w:eastAsia="Calibri" w:hAnsi="Calibri" w:cs="Calibri"/>
          <w:b/>
          <w:sz w:val="32"/>
          <w:szCs w:val="32"/>
        </w:rPr>
      </w:pPr>
      <w:r>
        <w:rPr>
          <w:rFonts w:ascii="Calibri" w:eastAsia="Calibri" w:hAnsi="Calibri" w:cs="Calibri"/>
          <w:b/>
          <w:sz w:val="32"/>
          <w:szCs w:val="32"/>
        </w:rPr>
        <w:t>Study finds Over-the-top Services Contributes over THB 36 billion to Thailand’s economy</w:t>
      </w:r>
    </w:p>
    <w:p w14:paraId="0A359832" w14:textId="77777777" w:rsidR="00277DF2" w:rsidRDefault="00B72EE2">
      <w:pPr>
        <w:contextualSpacing w:val="0"/>
        <w:jc w:val="center"/>
        <w:rPr>
          <w:rFonts w:ascii="Calibri" w:eastAsia="Calibri" w:hAnsi="Calibri" w:cs="Calibri"/>
          <w:b/>
        </w:rPr>
      </w:pPr>
      <w:r>
        <w:rPr>
          <w:rFonts w:ascii="Calibri" w:eastAsia="Calibri" w:hAnsi="Calibri" w:cs="Calibri"/>
          <w:b/>
        </w:rPr>
        <w:t xml:space="preserve"> </w:t>
      </w:r>
    </w:p>
    <w:p w14:paraId="451C5BDA" w14:textId="77777777" w:rsidR="00277DF2" w:rsidRDefault="00B72EE2">
      <w:pPr>
        <w:contextualSpacing w:val="0"/>
        <w:jc w:val="center"/>
        <w:rPr>
          <w:rFonts w:ascii="Calibri" w:eastAsia="Calibri" w:hAnsi="Calibri" w:cs="Calibri"/>
          <w:i/>
        </w:rPr>
      </w:pPr>
      <w:r>
        <w:rPr>
          <w:rFonts w:ascii="Calibri" w:eastAsia="Calibri" w:hAnsi="Calibri" w:cs="Calibri"/>
          <w:i/>
        </w:rPr>
        <w:t>Self-regulation and stronger public-private partnership with OTT platforms recommended to drive economic growth and benefit society in Thailand</w:t>
      </w:r>
    </w:p>
    <w:p w14:paraId="6BFCA20B" w14:textId="77777777" w:rsidR="00277DF2" w:rsidRDefault="00B72EE2">
      <w:pPr>
        <w:contextualSpacing w:val="0"/>
        <w:rPr>
          <w:rFonts w:ascii="Calibri" w:eastAsia="Calibri" w:hAnsi="Calibri" w:cs="Calibri"/>
        </w:rPr>
      </w:pPr>
      <w:r>
        <w:rPr>
          <w:rFonts w:ascii="Calibri" w:eastAsia="Calibri" w:hAnsi="Calibri" w:cs="Calibri"/>
        </w:rPr>
        <w:t xml:space="preserve"> </w:t>
      </w:r>
    </w:p>
    <w:p w14:paraId="55E176C2" w14:textId="77777777" w:rsidR="00277DF2" w:rsidRDefault="00B72EE2">
      <w:pPr>
        <w:contextualSpacing w:val="0"/>
        <w:jc w:val="both"/>
        <w:rPr>
          <w:rFonts w:ascii="Calibri" w:eastAsia="Calibri" w:hAnsi="Calibri" w:cs="Calibri"/>
        </w:rPr>
      </w:pPr>
      <w:r>
        <w:rPr>
          <w:rFonts w:ascii="Calibri" w:eastAsia="Calibri" w:hAnsi="Calibri" w:cs="Calibri"/>
          <w:b/>
        </w:rPr>
        <w:t xml:space="preserve">Bangkok, 7 September 2018 </w:t>
      </w:r>
      <w:r>
        <w:rPr>
          <w:rFonts w:ascii="Calibri" w:eastAsia="Calibri" w:hAnsi="Calibri" w:cs="Calibri"/>
        </w:rPr>
        <w:t>–</w:t>
      </w:r>
      <w:r>
        <w:rPr>
          <w:rFonts w:ascii="Calibri" w:eastAsia="Calibri" w:hAnsi="Calibri" w:cs="Calibri"/>
          <w:b/>
        </w:rPr>
        <w:t xml:space="preserve"> </w:t>
      </w:r>
      <w:r>
        <w:rPr>
          <w:rFonts w:ascii="Calibri" w:eastAsia="Calibri" w:hAnsi="Calibri" w:cs="Calibri"/>
        </w:rPr>
        <w:t>Thammasat University’s Consulting Networking and Coaching Center (CONC Thammasat) and the Asia Internet Coalition (AIC), the leading industry association for Internet policy in Asia, today launched a joint report, which finds Over-the-Top platforms (OTTs) contribute as much as THB 36 billion and 30,000 jobs to Thailand’s economy, in line with the nation’s Thailand 4.0 ambitions.</w:t>
      </w:r>
    </w:p>
    <w:p w14:paraId="4595C692" w14:textId="77777777" w:rsidR="00277DF2" w:rsidRDefault="00B72EE2">
      <w:pPr>
        <w:contextualSpacing w:val="0"/>
        <w:jc w:val="both"/>
        <w:rPr>
          <w:rFonts w:ascii="Calibri" w:eastAsia="Calibri" w:hAnsi="Calibri" w:cs="Calibri"/>
        </w:rPr>
      </w:pPr>
      <w:r>
        <w:rPr>
          <w:rFonts w:ascii="Calibri" w:eastAsia="Calibri" w:hAnsi="Calibri" w:cs="Calibri"/>
        </w:rPr>
        <w:t xml:space="preserve"> </w:t>
      </w:r>
    </w:p>
    <w:p w14:paraId="1DEF9D91" w14:textId="77777777" w:rsidR="00277DF2" w:rsidRDefault="00B72EE2">
      <w:pPr>
        <w:contextualSpacing w:val="0"/>
        <w:jc w:val="both"/>
        <w:rPr>
          <w:rFonts w:ascii="Calibri" w:eastAsia="Calibri" w:hAnsi="Calibri" w:cs="Calibri"/>
        </w:rPr>
      </w:pPr>
      <w:r>
        <w:rPr>
          <w:rFonts w:ascii="Calibri" w:eastAsia="Calibri" w:hAnsi="Calibri" w:cs="Calibri"/>
        </w:rPr>
        <w:t>OTTs are described as any application or service travelling over the Internet, including text messaging and voice applica</w:t>
      </w:r>
      <w:r w:rsidR="005B74EB">
        <w:rPr>
          <w:rFonts w:ascii="Calibri" w:eastAsia="Calibri" w:hAnsi="Calibri" w:cs="Calibri"/>
        </w:rPr>
        <w:t xml:space="preserve">tions, video streaming services, </w:t>
      </w:r>
      <w:r>
        <w:rPr>
          <w:rFonts w:ascii="Calibri" w:eastAsia="Calibri" w:hAnsi="Calibri" w:cs="Calibri"/>
        </w:rPr>
        <w:t>social networks, as well as</w:t>
      </w:r>
      <w:r w:rsidR="009174B2">
        <w:rPr>
          <w:rFonts w:ascii="Calibri" w:eastAsia="Calibri" w:hAnsi="Calibri" w:cs="Calibri"/>
        </w:rPr>
        <w:t xml:space="preserve"> </w:t>
      </w:r>
      <w:r>
        <w:rPr>
          <w:rFonts w:ascii="Calibri" w:eastAsia="Calibri" w:hAnsi="Calibri" w:cs="Calibri"/>
        </w:rPr>
        <w:t>e-commerce and online fintech services.</w:t>
      </w:r>
    </w:p>
    <w:p w14:paraId="0C7C84F1" w14:textId="77777777" w:rsidR="00277DF2" w:rsidRDefault="00B72EE2">
      <w:pPr>
        <w:contextualSpacing w:val="0"/>
        <w:jc w:val="both"/>
        <w:rPr>
          <w:rFonts w:ascii="Calibri" w:eastAsia="Calibri" w:hAnsi="Calibri" w:cs="Calibri"/>
        </w:rPr>
      </w:pPr>
      <w:r>
        <w:rPr>
          <w:rFonts w:ascii="Calibri" w:eastAsia="Calibri" w:hAnsi="Calibri" w:cs="Calibri"/>
        </w:rPr>
        <w:t xml:space="preserve"> </w:t>
      </w:r>
    </w:p>
    <w:p w14:paraId="2004CD0C" w14:textId="2A273324" w:rsidR="00277DF2" w:rsidRDefault="00B72EE2">
      <w:pPr>
        <w:contextualSpacing w:val="0"/>
        <w:jc w:val="both"/>
        <w:rPr>
          <w:rFonts w:ascii="Calibri" w:eastAsia="Calibri" w:hAnsi="Calibri" w:cs="Calibri"/>
        </w:rPr>
      </w:pPr>
      <w:r>
        <w:rPr>
          <w:rFonts w:ascii="Calibri" w:eastAsia="Calibri" w:hAnsi="Calibri" w:cs="Calibri"/>
        </w:rPr>
        <w:t xml:space="preserve">The report, </w:t>
      </w:r>
      <w:r w:rsidR="001C64B9">
        <w:rPr>
          <w:rFonts w:ascii="Calibri" w:eastAsia="Calibri" w:hAnsi="Calibri" w:cs="Calibri"/>
        </w:rPr>
        <w:t>‘</w:t>
      </w:r>
      <w:r w:rsidRPr="001C64B9">
        <w:rPr>
          <w:rFonts w:ascii="Calibri" w:eastAsia="Calibri" w:hAnsi="Calibri" w:cs="Calibri"/>
          <w:i/>
        </w:rPr>
        <w:t>Online Video Study in Thailand</w:t>
      </w:r>
      <w:r w:rsidR="001C64B9">
        <w:rPr>
          <w:rFonts w:ascii="Calibri" w:eastAsia="Calibri" w:hAnsi="Calibri" w:cs="Calibri"/>
        </w:rPr>
        <w:t>’</w:t>
      </w:r>
      <w:r>
        <w:rPr>
          <w:rFonts w:ascii="Calibri" w:eastAsia="Calibri" w:hAnsi="Calibri" w:cs="Calibri"/>
        </w:rPr>
        <w:t xml:space="preserve">, examines the value that OTT platforms in online video have brought Thailand, </w:t>
      </w:r>
      <w:r w:rsidR="005B74EB">
        <w:rPr>
          <w:rFonts w:ascii="Calibri" w:eastAsia="Calibri" w:hAnsi="Calibri" w:cs="Calibri"/>
        </w:rPr>
        <w:t xml:space="preserve">which include </w:t>
      </w:r>
      <w:r>
        <w:rPr>
          <w:rFonts w:ascii="Calibri" w:eastAsia="Calibri" w:hAnsi="Calibri" w:cs="Calibri"/>
        </w:rPr>
        <w:t>consumers acquiring knowledge and skills that translate to over THB 53,000</w:t>
      </w:r>
      <w:r w:rsidR="000F5EB4">
        <w:rPr>
          <w:rFonts w:ascii="Calibri" w:eastAsia="Calibri" w:hAnsi="Calibri" w:cs="Calibri"/>
        </w:rPr>
        <w:t>/person</w:t>
      </w:r>
      <w:r>
        <w:rPr>
          <w:rFonts w:ascii="Calibri" w:eastAsia="Calibri" w:hAnsi="Calibri" w:cs="Calibri"/>
        </w:rPr>
        <w:t xml:space="preserve"> in income a year, and local content creators having new distribution and revenue channels that enable them to grow and reach wider audiences.</w:t>
      </w:r>
    </w:p>
    <w:p w14:paraId="733B0160" w14:textId="77777777" w:rsidR="00D0173B" w:rsidRDefault="00D0173B" w:rsidP="00D0173B">
      <w:pPr>
        <w:contextualSpacing w:val="0"/>
        <w:jc w:val="both"/>
        <w:rPr>
          <w:rFonts w:ascii="Calibri" w:eastAsia="Calibri" w:hAnsi="Calibri" w:cs="Calibri"/>
        </w:rPr>
      </w:pPr>
    </w:p>
    <w:p w14:paraId="39B0ACAC" w14:textId="62F73ACC" w:rsidR="00D0173B" w:rsidRPr="005012F7" w:rsidRDefault="00D0173B" w:rsidP="00D0173B">
      <w:pPr>
        <w:contextualSpacing w:val="0"/>
        <w:jc w:val="both"/>
        <w:rPr>
          <w:rFonts w:ascii="Calibri" w:eastAsia="Calibri" w:hAnsi="Calibri" w:cs="Calibri"/>
        </w:rPr>
      </w:pPr>
      <w:r w:rsidRPr="000F5EB4">
        <w:rPr>
          <w:rFonts w:ascii="Calibri" w:eastAsia="Calibri" w:hAnsi="Calibri" w:cs="Calibri"/>
        </w:rPr>
        <w:t>Speaki</w:t>
      </w:r>
      <w:r>
        <w:rPr>
          <w:rFonts w:ascii="Calibri" w:eastAsia="Calibri" w:hAnsi="Calibri" w:cs="Calibri"/>
        </w:rPr>
        <w:t>ng at the launch event themed ‘</w:t>
      </w:r>
      <w:r w:rsidRPr="00E96F91">
        <w:rPr>
          <w:rFonts w:ascii="Calibri" w:eastAsia="Calibri" w:hAnsi="Calibri" w:cs="Calibri"/>
          <w:i/>
          <w:color w:val="212121"/>
        </w:rPr>
        <w:t>Online Video in Thailand: Growth, Innovation, and Opportunity</w:t>
      </w:r>
      <w:r>
        <w:rPr>
          <w:rFonts w:ascii="Calibri" w:eastAsia="Calibri" w:hAnsi="Calibri" w:cs="Calibri"/>
          <w:color w:val="212121"/>
        </w:rPr>
        <w:t>’</w:t>
      </w:r>
      <w:r w:rsidRPr="000F5EB4">
        <w:rPr>
          <w:rFonts w:ascii="Calibri" w:eastAsia="Calibri" w:hAnsi="Calibri" w:cs="Calibri"/>
          <w:color w:val="212121"/>
        </w:rPr>
        <w:t>,</w:t>
      </w:r>
      <w:r w:rsidR="001C64B9">
        <w:rPr>
          <w:rFonts w:ascii="Calibri" w:eastAsia="Calibri" w:hAnsi="Calibri" w:cs="Calibri"/>
          <w:color w:val="212121"/>
        </w:rPr>
        <w:t xml:space="preserve">       </w:t>
      </w:r>
      <w:r>
        <w:rPr>
          <w:rFonts w:ascii="Calibri" w:eastAsia="Calibri" w:hAnsi="Calibri" w:cs="Calibri"/>
          <w:b/>
        </w:rPr>
        <w:t xml:space="preserve">Dr. Suthikorn Kingkaew, Director of CONC Thammasat and report author </w:t>
      </w:r>
      <w:r>
        <w:rPr>
          <w:rFonts w:ascii="Calibri" w:eastAsia="Calibri" w:hAnsi="Calibri" w:cs="Calibri"/>
        </w:rPr>
        <w:t>said, “This study demonstrates</w:t>
      </w:r>
      <w:r w:rsidRPr="000F5EB4">
        <w:rPr>
          <w:rFonts w:ascii="Calibri" w:eastAsia="Calibri" w:hAnsi="Calibri" w:cs="Calibri"/>
        </w:rPr>
        <w:t xml:space="preserve"> </w:t>
      </w:r>
      <w:r>
        <w:rPr>
          <w:rFonts w:ascii="Calibri" w:eastAsia="Calibri" w:hAnsi="Calibri" w:cs="Calibri"/>
        </w:rPr>
        <w:t xml:space="preserve">that </w:t>
      </w:r>
      <w:r w:rsidRPr="000F5EB4">
        <w:rPr>
          <w:rFonts w:ascii="Calibri" w:eastAsia="Calibri" w:hAnsi="Calibri" w:cs="Calibri"/>
        </w:rPr>
        <w:t xml:space="preserve">OTT services have given </w:t>
      </w:r>
      <w:r>
        <w:rPr>
          <w:rFonts w:ascii="Calibri" w:eastAsia="Calibri" w:hAnsi="Calibri" w:cs="Calibri"/>
        </w:rPr>
        <w:t xml:space="preserve">Thais access to </w:t>
      </w:r>
      <w:r w:rsidRPr="000F5EB4">
        <w:rPr>
          <w:rFonts w:ascii="Calibri" w:eastAsia="Calibri" w:hAnsi="Calibri" w:cs="Calibri"/>
        </w:rPr>
        <w:t>knowledge and skills</w:t>
      </w:r>
      <w:r>
        <w:rPr>
          <w:rFonts w:ascii="Calibri" w:eastAsia="Calibri" w:hAnsi="Calibri" w:cs="Calibri"/>
        </w:rPr>
        <w:t xml:space="preserve"> that have enabled them to build </w:t>
      </w:r>
      <w:r w:rsidRPr="000F5EB4">
        <w:rPr>
          <w:rFonts w:ascii="Calibri" w:eastAsia="Calibri" w:hAnsi="Calibri" w:cs="Calibri"/>
        </w:rPr>
        <w:t>entrepreneurial and creative</w:t>
      </w:r>
      <w:r>
        <w:rPr>
          <w:rFonts w:ascii="Calibri" w:eastAsia="Calibri" w:hAnsi="Calibri" w:cs="Calibri"/>
        </w:rPr>
        <w:t xml:space="preserve"> businesses</w:t>
      </w:r>
      <w:r w:rsidR="007D7CA3">
        <w:rPr>
          <w:rFonts w:ascii="Calibri" w:eastAsia="Calibri" w:hAnsi="Calibri" w:cs="Calibri"/>
        </w:rPr>
        <w:t xml:space="preserve">. </w:t>
      </w:r>
      <w:r w:rsidR="007D7CA3" w:rsidRPr="005012F7">
        <w:rPr>
          <w:rFonts w:ascii="Calibri" w:eastAsia="Calibri" w:hAnsi="Calibri" w:cs="Calibri"/>
        </w:rPr>
        <w:t xml:space="preserve">The platforms also </w:t>
      </w:r>
      <w:r w:rsidR="00BE0A02" w:rsidRPr="005012F7">
        <w:rPr>
          <w:rFonts w:ascii="Calibri" w:eastAsia="Calibri" w:hAnsi="Calibri" w:cs="Calibri"/>
        </w:rPr>
        <w:t>allow</w:t>
      </w:r>
      <w:r w:rsidR="007D7CA3" w:rsidRPr="005012F7">
        <w:rPr>
          <w:rFonts w:ascii="Calibri" w:eastAsia="Calibri" w:hAnsi="Calibri" w:cs="Calibri"/>
        </w:rPr>
        <w:t xml:space="preserve"> thousands of new entrepreneurs </w:t>
      </w:r>
      <w:r w:rsidR="00BE0A02" w:rsidRPr="005012F7">
        <w:rPr>
          <w:rFonts w:ascii="Calibri" w:eastAsia="Calibri" w:hAnsi="Calibri" w:cs="Calibri"/>
        </w:rPr>
        <w:t xml:space="preserve">to </w:t>
      </w:r>
      <w:r w:rsidR="007D7CA3" w:rsidRPr="005012F7">
        <w:rPr>
          <w:rFonts w:ascii="Calibri" w:eastAsia="Calibri" w:hAnsi="Calibri" w:cs="Calibri"/>
        </w:rPr>
        <w:t xml:space="preserve">gain direct access to audiences and create endless business opportunities. </w:t>
      </w:r>
      <w:r w:rsidRPr="005012F7">
        <w:rPr>
          <w:rFonts w:ascii="Calibri" w:eastAsia="Calibri" w:hAnsi="Calibri" w:cs="Calibri"/>
        </w:rPr>
        <w:t xml:space="preserve"> </w:t>
      </w:r>
      <w:r w:rsidR="007D7CA3" w:rsidRPr="005012F7">
        <w:rPr>
          <w:rFonts w:ascii="Calibri" w:eastAsia="Calibri" w:hAnsi="Calibri" w:cs="Calibri"/>
        </w:rPr>
        <w:t>OTT platforms are creating</w:t>
      </w:r>
      <w:r w:rsidRPr="005012F7">
        <w:rPr>
          <w:rFonts w:ascii="Calibri" w:eastAsia="Calibri" w:hAnsi="Calibri" w:cs="Calibri"/>
        </w:rPr>
        <w:t xml:space="preserve"> tangible value to society and the economy, while supporting the nation’s Thailand 4.0 aspirations.” </w:t>
      </w:r>
    </w:p>
    <w:p w14:paraId="49DD126F" w14:textId="4B49BD9F" w:rsidR="00D0173B" w:rsidRPr="005012F7" w:rsidRDefault="00D0173B" w:rsidP="00D0173B">
      <w:pPr>
        <w:contextualSpacing w:val="0"/>
        <w:jc w:val="both"/>
        <w:rPr>
          <w:rFonts w:ascii="Calibri" w:eastAsia="Calibri" w:hAnsi="Calibri" w:cs="Calibri"/>
        </w:rPr>
      </w:pPr>
    </w:p>
    <w:p w14:paraId="4118FEE5" w14:textId="50D56E68" w:rsidR="00D0173B" w:rsidRDefault="00D0173B" w:rsidP="00D0173B">
      <w:pPr>
        <w:contextualSpacing w:val="0"/>
        <w:jc w:val="both"/>
      </w:pPr>
      <w:r w:rsidRPr="005012F7">
        <w:rPr>
          <w:rFonts w:ascii="Calibri" w:eastAsia="Calibri" w:hAnsi="Calibri" w:cs="Calibri"/>
        </w:rPr>
        <w:t>He added, “</w:t>
      </w:r>
      <w:r w:rsidR="002B110A" w:rsidRPr="005012F7">
        <w:rPr>
          <w:rFonts w:ascii="Calibri" w:eastAsia="Calibri" w:hAnsi="Calibri" w:cs="Calibri"/>
        </w:rPr>
        <w:t>The study highlights how a supportive</w:t>
      </w:r>
      <w:r w:rsidRPr="005012F7">
        <w:rPr>
          <w:rFonts w:ascii="Calibri" w:eastAsia="Calibri" w:hAnsi="Calibri" w:cs="Calibri"/>
        </w:rPr>
        <w:t xml:space="preserve"> ecosystem is critical to ensure </w:t>
      </w:r>
      <w:r w:rsidR="002B110A" w:rsidRPr="005012F7">
        <w:rPr>
          <w:rFonts w:ascii="Calibri" w:eastAsia="Calibri" w:hAnsi="Calibri" w:cs="Calibri"/>
        </w:rPr>
        <w:t xml:space="preserve">OTT platforms continue to drive the innovation and creativity needed to grow </w:t>
      </w:r>
      <w:r w:rsidRPr="005012F7">
        <w:rPr>
          <w:rFonts w:ascii="Calibri" w:eastAsia="Calibri" w:hAnsi="Calibri" w:cs="Calibri"/>
        </w:rPr>
        <w:t>Thailand</w:t>
      </w:r>
      <w:r w:rsidR="002B110A" w:rsidRPr="005012F7">
        <w:rPr>
          <w:rFonts w:ascii="Calibri" w:eastAsia="Calibri" w:hAnsi="Calibri" w:cs="Calibri"/>
        </w:rPr>
        <w:t>’s knowledge-based economy</w:t>
      </w:r>
      <w:r w:rsidR="00A467BA" w:rsidRPr="005012F7">
        <w:rPr>
          <w:rFonts w:ascii="Calibri" w:eastAsia="Calibri" w:hAnsi="Calibri" w:cs="Calibri"/>
        </w:rPr>
        <w:t xml:space="preserve">. The government should </w:t>
      </w:r>
      <w:r w:rsidR="007D7CA3" w:rsidRPr="005012F7">
        <w:rPr>
          <w:rFonts w:ascii="Calibri" w:eastAsia="Calibri" w:hAnsi="Calibri" w:cs="Calibri"/>
        </w:rPr>
        <w:t xml:space="preserve">acknowledge all </w:t>
      </w:r>
      <w:r w:rsidRPr="005012F7">
        <w:rPr>
          <w:rFonts w:ascii="Calibri" w:eastAsia="Calibri" w:hAnsi="Calibri" w:cs="Calibri"/>
        </w:rPr>
        <w:t xml:space="preserve">the </w:t>
      </w:r>
      <w:r w:rsidR="007D7CA3" w:rsidRPr="005012F7">
        <w:rPr>
          <w:rFonts w:ascii="Calibri" w:eastAsia="Calibri" w:hAnsi="Calibri" w:cs="Calibri"/>
        </w:rPr>
        <w:t>potentials</w:t>
      </w:r>
      <w:r w:rsidRPr="005012F7">
        <w:rPr>
          <w:rFonts w:ascii="Calibri" w:eastAsia="Calibri" w:hAnsi="Calibri" w:cs="Calibri"/>
        </w:rPr>
        <w:t xml:space="preserve"> o</w:t>
      </w:r>
      <w:r>
        <w:rPr>
          <w:rFonts w:ascii="Calibri" w:eastAsia="Calibri" w:hAnsi="Calibri" w:cs="Calibri"/>
        </w:rPr>
        <w:t xml:space="preserve">f </w:t>
      </w:r>
      <w:r w:rsidR="002B110A">
        <w:rPr>
          <w:rFonts w:ascii="Calibri" w:eastAsia="Calibri" w:hAnsi="Calibri" w:cs="Calibri"/>
        </w:rPr>
        <w:t>such</w:t>
      </w:r>
      <w:r>
        <w:rPr>
          <w:rFonts w:ascii="Calibri" w:eastAsia="Calibri" w:hAnsi="Calibri" w:cs="Calibri"/>
        </w:rPr>
        <w:t xml:space="preserve"> technologies and work together with industry associations and players to design policies that will position OTT platforms to benefit citizens and local entrepreneurs across the economy.” </w:t>
      </w:r>
    </w:p>
    <w:p w14:paraId="752EC6C0" w14:textId="414156F1" w:rsidR="000F5EB4" w:rsidRDefault="000F5EB4" w:rsidP="000F5EB4">
      <w:pPr>
        <w:contextualSpacing w:val="0"/>
        <w:jc w:val="both"/>
        <w:rPr>
          <w:rFonts w:ascii="Calibri" w:eastAsia="Calibri" w:hAnsi="Calibri" w:cs="Calibri"/>
        </w:rPr>
      </w:pPr>
      <w:r>
        <w:rPr>
          <w:rFonts w:ascii="Calibri" w:eastAsia="Calibri" w:hAnsi="Calibri" w:cs="Calibri"/>
          <w:b/>
        </w:rPr>
        <w:lastRenderedPageBreak/>
        <w:t xml:space="preserve">Jeff Paine, Managing Director, Asia Internet Coalition </w:t>
      </w:r>
      <w:r>
        <w:rPr>
          <w:rFonts w:ascii="Calibri" w:eastAsia="Calibri" w:hAnsi="Calibri" w:cs="Calibri"/>
        </w:rPr>
        <w:t>said,</w:t>
      </w:r>
      <w:r>
        <w:rPr>
          <w:rFonts w:ascii="Calibri" w:eastAsia="Calibri" w:hAnsi="Calibri" w:cs="Calibri"/>
          <w:b/>
        </w:rPr>
        <w:t xml:space="preserve"> </w:t>
      </w:r>
      <w:r>
        <w:rPr>
          <w:rFonts w:ascii="Calibri" w:eastAsia="Calibri" w:hAnsi="Calibri" w:cs="Calibri"/>
        </w:rPr>
        <w:t>“The growth and competitiveness of Thailand hinges on the</w:t>
      </w:r>
      <w:r w:rsidR="0002717E">
        <w:rPr>
          <w:rFonts w:ascii="Calibri" w:eastAsia="Calibri" w:hAnsi="Calibri" w:cs="Calibri"/>
        </w:rPr>
        <w:t xml:space="preserve"> digital economy, requiring a</w:t>
      </w:r>
      <w:r>
        <w:rPr>
          <w:rFonts w:ascii="Calibri" w:eastAsia="Calibri" w:hAnsi="Calibri" w:cs="Calibri"/>
        </w:rPr>
        <w:t xml:space="preserve"> </w:t>
      </w:r>
      <w:r w:rsidR="0002717E">
        <w:rPr>
          <w:rFonts w:ascii="Calibri" w:eastAsia="Calibri" w:hAnsi="Calibri" w:cs="Calibri"/>
        </w:rPr>
        <w:t xml:space="preserve">smarter approach to </w:t>
      </w:r>
      <w:r w:rsidR="0032181E">
        <w:rPr>
          <w:rFonts w:ascii="Calibri" w:eastAsia="Calibri" w:hAnsi="Calibri" w:cs="Calibri"/>
        </w:rPr>
        <w:t>regulation</w:t>
      </w:r>
      <w:r w:rsidR="0002717E">
        <w:rPr>
          <w:rFonts w:ascii="Calibri" w:eastAsia="Calibri" w:hAnsi="Calibri" w:cs="Calibri"/>
        </w:rPr>
        <w:t xml:space="preserve"> that </w:t>
      </w:r>
      <w:r w:rsidR="00511FB7">
        <w:rPr>
          <w:rFonts w:ascii="Calibri" w:eastAsia="Calibri" w:hAnsi="Calibri" w:cs="Calibri"/>
        </w:rPr>
        <w:t xml:space="preserve">ensures </w:t>
      </w:r>
      <w:r>
        <w:rPr>
          <w:rFonts w:ascii="Calibri" w:eastAsia="Calibri" w:hAnsi="Calibri" w:cs="Calibri"/>
        </w:rPr>
        <w:t>technology</w:t>
      </w:r>
      <w:r w:rsidR="0002717E">
        <w:rPr>
          <w:rFonts w:ascii="Calibri" w:eastAsia="Calibri" w:hAnsi="Calibri" w:cs="Calibri"/>
        </w:rPr>
        <w:t xml:space="preserve"> </w:t>
      </w:r>
      <w:r w:rsidR="00511FB7">
        <w:rPr>
          <w:rFonts w:ascii="Calibri" w:eastAsia="Calibri" w:hAnsi="Calibri" w:cs="Calibri"/>
        </w:rPr>
        <w:t xml:space="preserve">does </w:t>
      </w:r>
      <w:r w:rsidR="0002717E">
        <w:rPr>
          <w:rFonts w:ascii="Calibri" w:eastAsia="Calibri" w:hAnsi="Calibri" w:cs="Calibri"/>
        </w:rPr>
        <w:t>benefit</w:t>
      </w:r>
      <w:r>
        <w:rPr>
          <w:rFonts w:ascii="Calibri" w:eastAsia="Calibri" w:hAnsi="Calibri" w:cs="Calibri"/>
        </w:rPr>
        <w:t xml:space="preserve"> economies and societies. Thailand </w:t>
      </w:r>
      <w:r w:rsidR="0002717E">
        <w:rPr>
          <w:rFonts w:ascii="Calibri" w:eastAsia="Calibri" w:hAnsi="Calibri" w:cs="Calibri"/>
        </w:rPr>
        <w:t xml:space="preserve">has </w:t>
      </w:r>
      <w:r w:rsidR="00C96ACA">
        <w:rPr>
          <w:rFonts w:ascii="Calibri" w:eastAsia="Calibri" w:hAnsi="Calibri" w:cs="Calibri"/>
        </w:rPr>
        <w:t xml:space="preserve">a leadership </w:t>
      </w:r>
      <w:r>
        <w:rPr>
          <w:rFonts w:ascii="Calibri" w:eastAsia="Calibri" w:hAnsi="Calibri" w:cs="Calibri"/>
        </w:rPr>
        <w:t>opportunity</w:t>
      </w:r>
      <w:r w:rsidR="00C96ACA">
        <w:rPr>
          <w:rFonts w:ascii="Calibri" w:eastAsia="Calibri" w:hAnsi="Calibri" w:cs="Calibri"/>
        </w:rPr>
        <w:t xml:space="preserve"> in the region, and w</w:t>
      </w:r>
      <w:r w:rsidR="0002717E">
        <w:rPr>
          <w:rFonts w:ascii="Calibri" w:eastAsia="Calibri" w:hAnsi="Calibri" w:cs="Calibri"/>
        </w:rPr>
        <w:t xml:space="preserve">e </w:t>
      </w:r>
      <w:r>
        <w:rPr>
          <w:rFonts w:ascii="Calibri" w:eastAsia="Calibri" w:hAnsi="Calibri" w:cs="Calibri"/>
        </w:rPr>
        <w:t>look forward to continuing our dialogue</w:t>
      </w:r>
      <w:r w:rsidR="0002717E">
        <w:rPr>
          <w:rFonts w:ascii="Calibri" w:eastAsia="Calibri" w:hAnsi="Calibri" w:cs="Calibri"/>
        </w:rPr>
        <w:t xml:space="preserve"> with relevant </w:t>
      </w:r>
      <w:r>
        <w:rPr>
          <w:rFonts w:ascii="Calibri" w:eastAsia="Calibri" w:hAnsi="Calibri" w:cs="Calibri"/>
        </w:rPr>
        <w:t>agencies to promote w</w:t>
      </w:r>
      <w:r w:rsidR="00C96ACA">
        <w:rPr>
          <w:rFonts w:ascii="Calibri" w:eastAsia="Calibri" w:hAnsi="Calibri" w:cs="Calibri"/>
        </w:rPr>
        <w:t>ell-informed policies that make</w:t>
      </w:r>
      <w:r>
        <w:rPr>
          <w:rFonts w:ascii="Calibri" w:eastAsia="Calibri" w:hAnsi="Calibri" w:cs="Calibri"/>
        </w:rPr>
        <w:t xml:space="preserve"> Thailand an example of how countries can leverage OTT platforms for immense benefit.”</w:t>
      </w:r>
    </w:p>
    <w:p w14:paraId="1E8BA232" w14:textId="77777777" w:rsidR="00D0173B" w:rsidRDefault="00C033BF">
      <w:pPr>
        <w:contextualSpacing w:val="0"/>
        <w:jc w:val="both"/>
        <w:rPr>
          <w:rFonts w:ascii="Calibri" w:eastAsia="Calibri" w:hAnsi="Calibri" w:cs="Calibri"/>
        </w:rPr>
      </w:pPr>
      <w:r>
        <w:rPr>
          <w:rFonts w:ascii="Calibri" w:eastAsia="Calibri" w:hAnsi="Calibri" w:cs="Calibri"/>
        </w:rPr>
        <w:t xml:space="preserve"> </w:t>
      </w:r>
    </w:p>
    <w:p w14:paraId="6DDA281C" w14:textId="77777777" w:rsidR="00277DF2" w:rsidRDefault="00B72EE2">
      <w:pPr>
        <w:contextualSpacing w:val="0"/>
        <w:jc w:val="both"/>
        <w:rPr>
          <w:rFonts w:ascii="Calibri" w:eastAsia="Calibri" w:hAnsi="Calibri" w:cs="Calibri"/>
        </w:rPr>
      </w:pPr>
      <w:r>
        <w:rPr>
          <w:rFonts w:ascii="Calibri" w:eastAsia="Calibri" w:hAnsi="Calibri" w:cs="Calibri"/>
        </w:rPr>
        <w:t>The study reveals that a more supportive approach to regulation is needed to ensure benefits are gained, and makes specific recommendations that should be implemented through public and private sector partnerships, including:</w:t>
      </w:r>
    </w:p>
    <w:p w14:paraId="6541B31B" w14:textId="3DA5A156" w:rsidR="00277DF2" w:rsidRDefault="00277DF2">
      <w:pPr>
        <w:contextualSpacing w:val="0"/>
        <w:jc w:val="both"/>
        <w:rPr>
          <w:rFonts w:ascii="Calibri" w:eastAsia="Calibri" w:hAnsi="Calibri" w:cs="Calibri"/>
        </w:rPr>
      </w:pPr>
    </w:p>
    <w:p w14:paraId="2480F33E" w14:textId="77777777" w:rsidR="00277DF2" w:rsidRDefault="00B72EE2">
      <w:pPr>
        <w:numPr>
          <w:ilvl w:val="0"/>
          <w:numId w:val="1"/>
        </w:numPr>
        <w:jc w:val="both"/>
      </w:pPr>
      <w:r>
        <w:rPr>
          <w:rFonts w:ascii="Calibri" w:eastAsia="Calibri" w:hAnsi="Calibri" w:cs="Calibri"/>
          <w:b/>
        </w:rPr>
        <w:t>Reviewing regulations that hinder innovation:</w:t>
      </w:r>
      <w:r>
        <w:rPr>
          <w:rFonts w:ascii="Calibri" w:eastAsia="Calibri" w:hAnsi="Calibri" w:cs="Calibri"/>
        </w:rPr>
        <w:t xml:space="preserve"> Instead of applying existing current regulations for traditional broadcasters to the OTT industry, any new policy should be based on a rule-by-rule analysis, as existing policies for traditional broadcasters do not address the realities of new technologies which are diverse in nature. Poor policy also risks removing the incentive for traditional players to innovate and compete with OTT platforms.</w:t>
      </w:r>
    </w:p>
    <w:p w14:paraId="0200629A" w14:textId="77777777" w:rsidR="00277DF2" w:rsidRDefault="00B72EE2">
      <w:pPr>
        <w:ind w:left="720"/>
        <w:contextualSpacing w:val="0"/>
        <w:jc w:val="both"/>
        <w:rPr>
          <w:rFonts w:ascii="Calibri" w:eastAsia="Calibri" w:hAnsi="Calibri" w:cs="Calibri"/>
        </w:rPr>
      </w:pPr>
      <w:r>
        <w:rPr>
          <w:rFonts w:ascii="Calibri" w:eastAsia="Calibri" w:hAnsi="Calibri" w:cs="Calibri"/>
        </w:rPr>
        <w:t xml:space="preserve"> </w:t>
      </w:r>
    </w:p>
    <w:p w14:paraId="63D34F96" w14:textId="77777777" w:rsidR="00277DF2" w:rsidRDefault="00B72EE2">
      <w:pPr>
        <w:numPr>
          <w:ilvl w:val="0"/>
          <w:numId w:val="1"/>
        </w:numPr>
        <w:jc w:val="both"/>
      </w:pPr>
      <w:r>
        <w:rPr>
          <w:rFonts w:ascii="Calibri" w:eastAsia="Calibri" w:hAnsi="Calibri" w:cs="Calibri"/>
          <w:b/>
        </w:rPr>
        <w:t xml:space="preserve">Developing best practice for self-regulation: </w:t>
      </w:r>
      <w:r>
        <w:rPr>
          <w:rFonts w:ascii="Calibri" w:eastAsia="Calibri" w:hAnsi="Calibri" w:cs="Calibri"/>
        </w:rPr>
        <w:t>It is critical to introduce regulations and amend laws only where specific issues cannot be first solved by self-regulation, given that prematurely introduced rules could stifle innovation. Self-regulation has proven to be the best way forward in addressing challenges in emerging, fast moving industries. For effectiveness, OTT players, public agencies and other stakeholders should collaborate and enable the development of a set of principles to guide self-regulation.</w:t>
      </w:r>
    </w:p>
    <w:p w14:paraId="3CA11CB0" w14:textId="77777777" w:rsidR="00277DF2" w:rsidRDefault="00277DF2">
      <w:pPr>
        <w:ind w:left="720"/>
        <w:contextualSpacing w:val="0"/>
        <w:jc w:val="both"/>
        <w:rPr>
          <w:rFonts w:ascii="Calibri" w:eastAsia="Calibri" w:hAnsi="Calibri" w:cs="Calibri"/>
        </w:rPr>
      </w:pPr>
    </w:p>
    <w:p w14:paraId="0BD66BB3" w14:textId="77777777" w:rsidR="00277DF2" w:rsidRDefault="00B72EE2">
      <w:pPr>
        <w:numPr>
          <w:ilvl w:val="0"/>
          <w:numId w:val="1"/>
        </w:numPr>
        <w:jc w:val="both"/>
      </w:pPr>
      <w:r>
        <w:rPr>
          <w:rFonts w:ascii="Calibri" w:eastAsia="Calibri" w:hAnsi="Calibri" w:cs="Calibri"/>
          <w:b/>
        </w:rPr>
        <w:t>Investing in the creative industry:</w:t>
      </w:r>
      <w:r>
        <w:rPr>
          <w:rFonts w:ascii="Calibri" w:eastAsia="Calibri" w:hAnsi="Calibri" w:cs="Calibri"/>
        </w:rPr>
        <w:t xml:space="preserve"> Government agencies should create incentives for both foreign and local investors to partner with local content creators. For example, the Digital Economy Promotion Agency could extend their funding for creative content businesses to include new and existing content creators on OTT platforms. This will in turn create high-income jobs and encourage more competition within the Thai media industry.</w:t>
      </w:r>
    </w:p>
    <w:p w14:paraId="3BEE6AC0" w14:textId="77777777" w:rsidR="00277DF2" w:rsidRDefault="00B72EE2">
      <w:pPr>
        <w:ind w:left="720"/>
        <w:contextualSpacing w:val="0"/>
        <w:jc w:val="both"/>
        <w:rPr>
          <w:rFonts w:ascii="Calibri" w:eastAsia="Calibri" w:hAnsi="Calibri" w:cs="Calibri"/>
          <w:b/>
        </w:rPr>
      </w:pPr>
      <w:r>
        <w:rPr>
          <w:rFonts w:ascii="Calibri" w:eastAsia="Calibri" w:hAnsi="Calibri" w:cs="Calibri"/>
          <w:b/>
        </w:rPr>
        <w:t xml:space="preserve"> </w:t>
      </w:r>
    </w:p>
    <w:p w14:paraId="44820E7B" w14:textId="77777777" w:rsidR="00277DF2" w:rsidRDefault="00B72EE2">
      <w:pPr>
        <w:numPr>
          <w:ilvl w:val="0"/>
          <w:numId w:val="1"/>
        </w:numPr>
        <w:jc w:val="both"/>
      </w:pPr>
      <w:r>
        <w:rPr>
          <w:rFonts w:ascii="Calibri" w:eastAsia="Calibri" w:hAnsi="Calibri" w:cs="Calibri"/>
          <w:b/>
        </w:rPr>
        <w:t xml:space="preserve">Promoting digital literacy: </w:t>
      </w:r>
      <w:r>
        <w:rPr>
          <w:rFonts w:ascii="Calibri" w:eastAsia="Calibri" w:hAnsi="Calibri" w:cs="Calibri"/>
        </w:rPr>
        <w:t>Digital literacy, including digital security, is vital to ensure people in Thailand can apply rational judgement and make healthy decisions in their selection and viewing of appropriate content.</w:t>
      </w:r>
    </w:p>
    <w:p w14:paraId="4C727081" w14:textId="77777777" w:rsidR="00277DF2" w:rsidRDefault="00C033BF">
      <w:pPr>
        <w:contextualSpacing w:val="0"/>
        <w:jc w:val="both"/>
        <w:rPr>
          <w:rFonts w:ascii="Calibri" w:eastAsia="Calibri" w:hAnsi="Calibri" w:cs="Calibri"/>
        </w:rPr>
      </w:pPr>
      <w:r>
        <w:rPr>
          <w:rFonts w:ascii="Calibri" w:eastAsia="Calibri" w:hAnsi="Calibri" w:cs="Calibri"/>
        </w:rPr>
        <w:t xml:space="preserve"> </w:t>
      </w:r>
    </w:p>
    <w:p w14:paraId="5D52ED50" w14:textId="43CE8ED5" w:rsidR="00277DF2" w:rsidRDefault="00B72EE2" w:rsidP="0093753B">
      <w:pPr>
        <w:contextualSpacing w:val="0"/>
        <w:jc w:val="both"/>
        <w:rPr>
          <w:rFonts w:ascii="Calibri" w:eastAsia="Calibri" w:hAnsi="Calibri" w:cs="Calibri"/>
          <w:highlight w:val="yellow"/>
        </w:rPr>
      </w:pPr>
      <w:r>
        <w:rPr>
          <w:rFonts w:ascii="Calibri" w:eastAsia="Calibri" w:hAnsi="Calibri" w:cs="Calibri"/>
        </w:rPr>
        <w:t>The launch event also featured an interview and dialogue session with</w:t>
      </w:r>
      <w:r w:rsidR="00FF08BB">
        <w:rPr>
          <w:rFonts w:ascii="Calibri" w:eastAsia="Calibri" w:hAnsi="Calibri" w:cs="Calibri"/>
        </w:rPr>
        <w:t xml:space="preserve"> two</w:t>
      </w:r>
      <w:bookmarkStart w:id="0" w:name="_GoBack"/>
      <w:bookmarkEnd w:id="0"/>
      <w:r>
        <w:rPr>
          <w:rFonts w:ascii="Calibri" w:eastAsia="Calibri" w:hAnsi="Calibri" w:cs="Calibri"/>
        </w:rPr>
        <w:t xml:space="preserve"> Thai entrepreneurs </w:t>
      </w:r>
      <w:r w:rsidR="00E958A8">
        <w:rPr>
          <w:rFonts w:ascii="Calibri" w:eastAsia="Calibri" w:hAnsi="Calibri" w:cs="Calibri"/>
        </w:rPr>
        <w:t xml:space="preserve">– </w:t>
      </w:r>
      <w:proofErr w:type="spellStart"/>
      <w:r w:rsidR="00E958A8">
        <w:rPr>
          <w:rFonts w:ascii="Calibri" w:eastAsia="Calibri" w:hAnsi="Calibri" w:cs="Calibri"/>
        </w:rPr>
        <w:t>Bie</w:t>
      </w:r>
      <w:proofErr w:type="spellEnd"/>
      <w:r w:rsidR="00E958A8">
        <w:rPr>
          <w:rFonts w:ascii="Calibri" w:eastAsia="Calibri" w:hAnsi="Calibri" w:cs="Calibri"/>
        </w:rPr>
        <w:t xml:space="preserve"> The S</w:t>
      </w:r>
      <w:r w:rsidR="00F7625B">
        <w:rPr>
          <w:rFonts w:ascii="Calibri" w:eastAsia="Calibri" w:hAnsi="Calibri" w:cs="Calibri"/>
        </w:rPr>
        <w:t>ka</w:t>
      </w:r>
      <w:r w:rsidR="00E958A8">
        <w:rPr>
          <w:rFonts w:ascii="Calibri" w:eastAsia="Calibri" w:hAnsi="Calibri" w:cs="Calibri"/>
        </w:rPr>
        <w:t>, content producer and entertainer</w:t>
      </w:r>
      <w:r w:rsidR="00F539D0">
        <w:rPr>
          <w:rFonts w:ascii="Calibri" w:eastAsia="Calibri" w:hAnsi="Calibri" w:cs="Calibri"/>
        </w:rPr>
        <w:t xml:space="preserve">, </w:t>
      </w:r>
      <w:r w:rsidR="00E958A8">
        <w:rPr>
          <w:rFonts w:ascii="Calibri" w:eastAsia="Calibri" w:hAnsi="Calibri" w:cs="Calibri"/>
        </w:rPr>
        <w:t xml:space="preserve">and </w:t>
      </w:r>
      <w:proofErr w:type="spellStart"/>
      <w:r w:rsidR="00A83E6C">
        <w:rPr>
          <w:rFonts w:ascii="Calibri" w:eastAsia="Calibri" w:hAnsi="Calibri" w:cs="Calibri"/>
        </w:rPr>
        <w:t>Titipong</w:t>
      </w:r>
      <w:proofErr w:type="spellEnd"/>
      <w:r w:rsidR="00A83E6C">
        <w:rPr>
          <w:rFonts w:ascii="Calibri" w:eastAsia="Calibri" w:hAnsi="Calibri" w:cs="Calibri"/>
        </w:rPr>
        <w:t xml:space="preserve"> </w:t>
      </w:r>
      <w:proofErr w:type="spellStart"/>
      <w:r w:rsidR="00085B61">
        <w:rPr>
          <w:rFonts w:ascii="Calibri" w:eastAsia="Calibri" w:hAnsi="Calibri" w:cs="Calibri"/>
        </w:rPr>
        <w:t>Pisitwuttina</w:t>
      </w:r>
      <w:proofErr w:type="spellEnd"/>
      <w:r w:rsidR="00085B61">
        <w:rPr>
          <w:rFonts w:ascii="Calibri" w:eastAsia="Calibri" w:hAnsi="Calibri" w:cs="Calibri"/>
        </w:rPr>
        <w:t xml:space="preserve">, </w:t>
      </w:r>
      <w:r w:rsidR="00A83E6C">
        <w:rPr>
          <w:rFonts w:ascii="Calibri" w:eastAsia="Calibri" w:hAnsi="Calibri" w:cs="Calibri"/>
        </w:rPr>
        <w:t xml:space="preserve">Co-founder and CEO of SkillLane, a leading </w:t>
      </w:r>
      <w:r w:rsidR="00C724F3">
        <w:rPr>
          <w:rFonts w:ascii="Calibri" w:eastAsia="Calibri" w:hAnsi="Calibri" w:cs="Calibri"/>
        </w:rPr>
        <w:t>e</w:t>
      </w:r>
      <w:r w:rsidR="00A83E6C">
        <w:rPr>
          <w:rFonts w:ascii="Calibri" w:eastAsia="Calibri" w:hAnsi="Calibri" w:cs="Calibri"/>
        </w:rPr>
        <w:t>d</w:t>
      </w:r>
      <w:r w:rsidR="00C724F3">
        <w:rPr>
          <w:rFonts w:ascii="Calibri" w:eastAsia="Calibri" w:hAnsi="Calibri" w:cs="Calibri"/>
        </w:rPr>
        <w:t xml:space="preserve">ucation </w:t>
      </w:r>
      <w:r w:rsidR="00A83E6C">
        <w:rPr>
          <w:rFonts w:ascii="Calibri" w:eastAsia="Calibri" w:hAnsi="Calibri" w:cs="Calibri"/>
        </w:rPr>
        <w:t>platform for online learning and training –</w:t>
      </w:r>
      <w:r w:rsidR="000F59C1">
        <w:rPr>
          <w:rFonts w:ascii="Calibri" w:eastAsia="Calibri" w:hAnsi="Calibri" w:cs="Calibri"/>
        </w:rPr>
        <w:t xml:space="preserve"> both of whom </w:t>
      </w:r>
      <w:r w:rsidR="004A122D">
        <w:rPr>
          <w:rFonts w:ascii="Calibri" w:eastAsia="Calibri" w:hAnsi="Calibri" w:cs="Calibri"/>
        </w:rPr>
        <w:t>have</w:t>
      </w:r>
      <w:r w:rsidR="00212396">
        <w:rPr>
          <w:rFonts w:ascii="Calibri" w:eastAsia="Calibri" w:hAnsi="Calibri" w:cs="Calibri"/>
        </w:rPr>
        <w:t xml:space="preserve"> successfully</w:t>
      </w:r>
      <w:r w:rsidR="004A122D">
        <w:rPr>
          <w:rFonts w:ascii="Calibri" w:eastAsia="Calibri" w:hAnsi="Calibri" w:cs="Calibri"/>
        </w:rPr>
        <w:t xml:space="preserve"> </w:t>
      </w:r>
      <w:r>
        <w:rPr>
          <w:rFonts w:ascii="Calibri" w:eastAsia="Calibri" w:hAnsi="Calibri" w:cs="Calibri"/>
        </w:rPr>
        <w:t xml:space="preserve">used online platforms and services to </w:t>
      </w:r>
      <w:r w:rsidR="00C033BF">
        <w:rPr>
          <w:rFonts w:ascii="Calibri" w:eastAsia="Calibri" w:hAnsi="Calibri" w:cs="Calibri"/>
        </w:rPr>
        <w:t>build</w:t>
      </w:r>
      <w:r>
        <w:rPr>
          <w:rFonts w:ascii="Calibri" w:eastAsia="Calibri" w:hAnsi="Calibri" w:cs="Calibri"/>
        </w:rPr>
        <w:t xml:space="preserve"> th</w:t>
      </w:r>
      <w:r w:rsidR="00E958A8">
        <w:rPr>
          <w:rFonts w:ascii="Calibri" w:eastAsia="Calibri" w:hAnsi="Calibri" w:cs="Calibri"/>
        </w:rPr>
        <w:t>eir</w:t>
      </w:r>
      <w:r w:rsidR="00212396">
        <w:rPr>
          <w:rFonts w:ascii="Calibri" w:eastAsia="Calibri" w:hAnsi="Calibri" w:cs="Calibri"/>
        </w:rPr>
        <w:t xml:space="preserve"> </w:t>
      </w:r>
      <w:r w:rsidR="00E958A8">
        <w:rPr>
          <w:rFonts w:ascii="Calibri" w:eastAsia="Calibri" w:hAnsi="Calibri" w:cs="Calibri"/>
        </w:rPr>
        <w:t>digital-enabled businesses</w:t>
      </w:r>
      <w:r w:rsidR="00A83E6C">
        <w:rPr>
          <w:rFonts w:ascii="Calibri" w:eastAsia="Calibri" w:hAnsi="Calibri" w:cs="Calibri"/>
        </w:rPr>
        <w:t>.</w:t>
      </w:r>
    </w:p>
    <w:p w14:paraId="459A98AE" w14:textId="20468D33" w:rsidR="00277DF2" w:rsidRDefault="00277DF2">
      <w:pPr>
        <w:contextualSpacing w:val="0"/>
        <w:jc w:val="both"/>
        <w:rPr>
          <w:rFonts w:ascii="Calibri" w:eastAsia="Calibri" w:hAnsi="Calibri" w:cs="Calibri"/>
        </w:rPr>
      </w:pPr>
    </w:p>
    <w:p w14:paraId="3E1771DA" w14:textId="5B7A30D7" w:rsidR="00E903DE" w:rsidRPr="00E903DE" w:rsidRDefault="00E903DE">
      <w:pPr>
        <w:contextualSpacing w:val="0"/>
        <w:jc w:val="both"/>
        <w:rPr>
          <w:rFonts w:ascii="Calibri" w:eastAsia="Calibri" w:hAnsi="Calibri" w:cs="Calibri"/>
        </w:rPr>
      </w:pPr>
      <w:r w:rsidRPr="00E903DE">
        <w:rPr>
          <w:rFonts w:ascii="Calibri" w:eastAsia="Calibri" w:hAnsi="Calibri" w:cs="Calibri"/>
        </w:rPr>
        <w:t xml:space="preserve">An online version of this report can be found at </w:t>
      </w:r>
      <w:hyperlink r:id="rId7" w:history="1">
        <w:r w:rsidRPr="00E903DE">
          <w:rPr>
            <w:rStyle w:val="Hyperlink"/>
            <w:rFonts w:ascii="Calibri" w:eastAsia="Calibri" w:hAnsi="Calibri" w:cs="Calibri"/>
          </w:rPr>
          <w:t>www.aicasia.org</w:t>
        </w:r>
      </w:hyperlink>
      <w:r w:rsidRPr="00E903DE">
        <w:rPr>
          <w:rFonts w:ascii="Calibri" w:eastAsia="Calibri" w:hAnsi="Calibri" w:cs="Calibri"/>
        </w:rPr>
        <w:t xml:space="preserve"> </w:t>
      </w:r>
    </w:p>
    <w:p w14:paraId="240CC5B1" w14:textId="77777777" w:rsidR="00E903DE" w:rsidRDefault="00E903DE" w:rsidP="00E903DE">
      <w:pPr>
        <w:contextualSpacing w:val="0"/>
        <w:jc w:val="center"/>
        <w:rPr>
          <w:rFonts w:ascii="Calibri" w:eastAsia="Calibri" w:hAnsi="Calibri" w:cs="Calibri"/>
        </w:rPr>
      </w:pPr>
    </w:p>
    <w:p w14:paraId="2091740E" w14:textId="071DFA02" w:rsidR="00E903DE" w:rsidRDefault="00E903DE" w:rsidP="00E903DE">
      <w:pPr>
        <w:contextualSpacing w:val="0"/>
        <w:jc w:val="center"/>
        <w:rPr>
          <w:rFonts w:ascii="Calibri" w:eastAsia="Calibri" w:hAnsi="Calibri" w:cs="Calibri"/>
        </w:rPr>
      </w:pPr>
      <w:r>
        <w:rPr>
          <w:rFonts w:ascii="Calibri" w:eastAsia="Calibri" w:hAnsi="Calibri" w:cs="Calibri"/>
        </w:rPr>
        <w:t>###</w:t>
      </w:r>
    </w:p>
    <w:p w14:paraId="1C3FE883" w14:textId="77777777" w:rsidR="00E903DE" w:rsidRDefault="00E903DE">
      <w:pPr>
        <w:contextualSpacing w:val="0"/>
        <w:jc w:val="both"/>
        <w:rPr>
          <w:rFonts w:ascii="Calibri" w:eastAsia="Calibri" w:hAnsi="Calibri" w:cs="Calibri"/>
          <w:b/>
          <w:i/>
        </w:rPr>
      </w:pPr>
    </w:p>
    <w:p w14:paraId="59089592" w14:textId="24778DEA" w:rsidR="00277DF2" w:rsidRDefault="00B72EE2">
      <w:pPr>
        <w:contextualSpacing w:val="0"/>
        <w:jc w:val="both"/>
        <w:rPr>
          <w:rFonts w:ascii="Calibri" w:eastAsia="Calibri" w:hAnsi="Calibri" w:cs="Calibri"/>
          <w:b/>
          <w:i/>
        </w:rPr>
      </w:pPr>
      <w:r>
        <w:rPr>
          <w:rFonts w:ascii="Calibri" w:eastAsia="Calibri" w:hAnsi="Calibri" w:cs="Calibri"/>
          <w:b/>
          <w:i/>
        </w:rPr>
        <w:lastRenderedPageBreak/>
        <w:t>About CONC Thammasat</w:t>
      </w:r>
    </w:p>
    <w:p w14:paraId="395EF641" w14:textId="77777777" w:rsidR="00277DF2" w:rsidRDefault="00B72EE2">
      <w:pPr>
        <w:contextualSpacing w:val="0"/>
        <w:jc w:val="both"/>
        <w:rPr>
          <w:rFonts w:ascii="Calibri" w:eastAsia="Calibri" w:hAnsi="Calibri" w:cs="Calibri"/>
          <w:i/>
        </w:rPr>
      </w:pPr>
      <w:r>
        <w:rPr>
          <w:rFonts w:ascii="Calibri" w:eastAsia="Calibri" w:hAnsi="Calibri" w:cs="Calibri"/>
          <w:i/>
        </w:rPr>
        <w:t>CONC Thammasat offers clients diverse range of business consultancy, implementation services and training initiatives with practical tactics. It continues to practice and demonstrate new collaborative techniques to diagnose clients’ companies in 360 degrees that have accelerated the clients’ performances.</w:t>
      </w:r>
    </w:p>
    <w:p w14:paraId="0B19EAE4" w14:textId="77777777" w:rsidR="00277DF2" w:rsidRDefault="00B72EE2">
      <w:pPr>
        <w:contextualSpacing w:val="0"/>
        <w:jc w:val="both"/>
        <w:rPr>
          <w:rFonts w:ascii="Calibri" w:eastAsia="Calibri" w:hAnsi="Calibri" w:cs="Calibri"/>
          <w:i/>
          <w:color w:val="1155CC"/>
          <w:u w:val="single"/>
        </w:rPr>
      </w:pPr>
      <w:r>
        <w:fldChar w:fldCharType="begin"/>
      </w:r>
      <w:r>
        <w:instrText xml:space="preserve"> HYPERLINK "https://conc.tbs.tu.ac.th/" </w:instrText>
      </w:r>
      <w:r>
        <w:fldChar w:fldCharType="separate"/>
      </w:r>
      <w:r>
        <w:rPr>
          <w:rFonts w:ascii="Calibri" w:eastAsia="Calibri" w:hAnsi="Calibri" w:cs="Calibri"/>
          <w:i/>
          <w:color w:val="1155CC"/>
          <w:u w:val="single"/>
        </w:rPr>
        <w:t>https://conc.tbs.tu.ac.th/</w:t>
      </w:r>
    </w:p>
    <w:p w14:paraId="7C54E70B" w14:textId="77777777" w:rsidR="00277DF2" w:rsidRDefault="00B72EE2">
      <w:pPr>
        <w:contextualSpacing w:val="0"/>
        <w:jc w:val="both"/>
        <w:rPr>
          <w:rFonts w:ascii="Calibri" w:eastAsia="Calibri" w:hAnsi="Calibri" w:cs="Calibri"/>
          <w:i/>
        </w:rPr>
      </w:pPr>
      <w:r>
        <w:fldChar w:fldCharType="end"/>
      </w:r>
      <w:r>
        <w:rPr>
          <w:rFonts w:ascii="Calibri" w:eastAsia="Calibri" w:hAnsi="Calibri" w:cs="Calibri"/>
          <w:i/>
        </w:rPr>
        <w:t xml:space="preserve"> </w:t>
      </w:r>
    </w:p>
    <w:p w14:paraId="6030965E" w14:textId="77777777" w:rsidR="00277DF2" w:rsidRDefault="00B72EE2">
      <w:pPr>
        <w:contextualSpacing w:val="0"/>
        <w:jc w:val="both"/>
        <w:rPr>
          <w:rFonts w:ascii="Calibri" w:eastAsia="Calibri" w:hAnsi="Calibri" w:cs="Calibri"/>
          <w:b/>
          <w:i/>
        </w:rPr>
      </w:pPr>
      <w:r>
        <w:rPr>
          <w:rFonts w:ascii="Calibri" w:eastAsia="Calibri" w:hAnsi="Calibri" w:cs="Calibri"/>
          <w:b/>
          <w:i/>
        </w:rPr>
        <w:t>About Asia Internet Coalition (AIC)</w:t>
      </w:r>
    </w:p>
    <w:p w14:paraId="43057A47" w14:textId="77777777" w:rsidR="00277DF2" w:rsidRDefault="00B72EE2">
      <w:pPr>
        <w:contextualSpacing w:val="0"/>
        <w:jc w:val="both"/>
        <w:rPr>
          <w:rFonts w:ascii="Calibri" w:eastAsia="Calibri" w:hAnsi="Calibri" w:cs="Calibri"/>
          <w:i/>
        </w:rPr>
      </w:pPr>
      <w:r>
        <w:rPr>
          <w:rFonts w:ascii="Calibri" w:eastAsia="Calibri" w:hAnsi="Calibri" w:cs="Calibri"/>
          <w:i/>
        </w:rPr>
        <w:t>The AIC is a leading industry association for Internet policy in Asia, representing the world’s largest technology companies and helping governments develop well-informed policies that support the growth of the digital economy in Asia.</w:t>
      </w:r>
    </w:p>
    <w:p w14:paraId="4430BF5F" w14:textId="77777777" w:rsidR="00277DF2" w:rsidRDefault="00B72EE2">
      <w:pPr>
        <w:contextualSpacing w:val="0"/>
        <w:jc w:val="both"/>
        <w:rPr>
          <w:rFonts w:ascii="Calibri" w:eastAsia="Calibri" w:hAnsi="Calibri" w:cs="Calibri"/>
          <w:i/>
          <w:color w:val="1155CC"/>
          <w:u w:val="single"/>
        </w:rPr>
      </w:pPr>
      <w:r>
        <w:fldChar w:fldCharType="begin"/>
      </w:r>
      <w:r>
        <w:instrText xml:space="preserve"> HYPERLINK "https://www.aicasia.org/" </w:instrText>
      </w:r>
      <w:r>
        <w:fldChar w:fldCharType="separate"/>
      </w:r>
      <w:r>
        <w:rPr>
          <w:rFonts w:ascii="Calibri" w:eastAsia="Calibri" w:hAnsi="Calibri" w:cs="Calibri"/>
          <w:i/>
          <w:color w:val="1155CC"/>
          <w:u w:val="single"/>
        </w:rPr>
        <w:t>https://www.aicasia.org/</w:t>
      </w:r>
    </w:p>
    <w:p w14:paraId="1D2A8797" w14:textId="77777777" w:rsidR="00277DF2" w:rsidRDefault="00B72EE2">
      <w:pPr>
        <w:contextualSpacing w:val="0"/>
        <w:rPr>
          <w:b/>
        </w:rPr>
      </w:pPr>
      <w:r>
        <w:fldChar w:fldCharType="end"/>
      </w:r>
      <w:r>
        <w:rPr>
          <w:b/>
        </w:rPr>
        <w:t xml:space="preserve"> </w:t>
      </w:r>
    </w:p>
    <w:p w14:paraId="03A06ACD" w14:textId="77777777" w:rsidR="00277DF2" w:rsidRDefault="00B72EE2">
      <w:pPr>
        <w:contextualSpacing w:val="0"/>
        <w:rPr>
          <w:b/>
        </w:rPr>
      </w:pPr>
      <w:r>
        <w:rPr>
          <w:b/>
        </w:rPr>
        <w:t xml:space="preserve"> </w:t>
      </w:r>
    </w:p>
    <w:p w14:paraId="3C2DDDC4" w14:textId="77777777" w:rsidR="00277DF2" w:rsidRDefault="00277DF2">
      <w:pPr>
        <w:contextualSpacing w:val="0"/>
        <w:rPr>
          <w:rFonts w:ascii="Calibri" w:eastAsia="Calibri" w:hAnsi="Calibri" w:cs="Calibri"/>
        </w:rPr>
      </w:pPr>
    </w:p>
    <w:p w14:paraId="46A170E2" w14:textId="77777777" w:rsidR="00277DF2" w:rsidRDefault="00B72EE2">
      <w:pPr>
        <w:contextualSpacing w:val="0"/>
        <w:rPr>
          <w:rFonts w:ascii="Calibri" w:eastAsia="Calibri" w:hAnsi="Calibri" w:cs="Calibri"/>
          <w:b/>
          <w:u w:val="single"/>
        </w:rPr>
      </w:pPr>
      <w:r>
        <w:rPr>
          <w:rFonts w:ascii="Calibri" w:eastAsia="Calibri" w:hAnsi="Calibri" w:cs="Calibri"/>
          <w:b/>
          <w:u w:val="single"/>
        </w:rPr>
        <w:t>Media Contacts</w:t>
      </w:r>
    </w:p>
    <w:p w14:paraId="3A746F49" w14:textId="77777777" w:rsidR="00277DF2" w:rsidRDefault="00277DF2">
      <w:pPr>
        <w:spacing w:line="256" w:lineRule="auto"/>
        <w:contextualSpacing w:val="0"/>
        <w:rPr>
          <w:rFonts w:ascii="Calibri" w:eastAsia="Calibri" w:hAnsi="Calibri" w:cs="Calibri"/>
          <w:b/>
        </w:rPr>
      </w:pPr>
    </w:p>
    <w:p w14:paraId="1FDE0D8D" w14:textId="77777777" w:rsidR="00277DF2" w:rsidRDefault="00B72EE2">
      <w:pPr>
        <w:contextualSpacing w:val="0"/>
        <w:rPr>
          <w:rFonts w:ascii="Calibri" w:eastAsia="Calibri" w:hAnsi="Calibri" w:cs="Calibri"/>
          <w:b/>
        </w:rPr>
      </w:pPr>
      <w:r>
        <w:rPr>
          <w:rFonts w:ascii="Calibri" w:eastAsia="Calibri" w:hAnsi="Calibri" w:cs="Calibri"/>
          <w:b/>
        </w:rPr>
        <w:t>CONC Thammasat:</w:t>
      </w:r>
    </w:p>
    <w:p w14:paraId="24BA9F62" w14:textId="77777777" w:rsidR="00277DF2" w:rsidRDefault="00B72EE2">
      <w:pPr>
        <w:contextualSpacing w:val="0"/>
        <w:rPr>
          <w:rFonts w:ascii="Calibri" w:eastAsia="Calibri" w:hAnsi="Calibri" w:cs="Calibri"/>
        </w:rPr>
      </w:pPr>
      <w:proofErr w:type="spellStart"/>
      <w:r>
        <w:rPr>
          <w:rFonts w:ascii="Calibri" w:eastAsia="Calibri" w:hAnsi="Calibri" w:cs="Calibri"/>
        </w:rPr>
        <w:t>Ratsupang</w:t>
      </w:r>
      <w:proofErr w:type="spellEnd"/>
      <w:r>
        <w:rPr>
          <w:rFonts w:ascii="Calibri" w:eastAsia="Calibri" w:hAnsi="Calibri" w:cs="Calibri"/>
        </w:rPr>
        <w:t xml:space="preserve"> </w:t>
      </w:r>
      <w:proofErr w:type="spellStart"/>
      <w:r>
        <w:rPr>
          <w:rFonts w:ascii="Calibri" w:eastAsia="Calibri" w:hAnsi="Calibri" w:cs="Calibri"/>
        </w:rPr>
        <w:t>Supcharoen</w:t>
      </w:r>
      <w:proofErr w:type="spellEnd"/>
    </w:p>
    <w:p w14:paraId="4761939D" w14:textId="1DA44A47" w:rsidR="00277DF2" w:rsidRDefault="005012F7">
      <w:pPr>
        <w:contextualSpacing w:val="0"/>
        <w:rPr>
          <w:rFonts w:ascii="Calibri" w:eastAsia="Calibri" w:hAnsi="Calibri" w:cs="Calibri"/>
        </w:rPr>
      </w:pPr>
      <w:hyperlink r:id="rId8" w:history="1">
        <w:r w:rsidRPr="006575FF">
          <w:rPr>
            <w:rStyle w:val="Hyperlink"/>
            <w:rFonts w:ascii="Calibri" w:eastAsia="Calibri" w:hAnsi="Calibri" w:cs="Calibri"/>
          </w:rPr>
          <w:t>ratsupang@gmail.com</w:t>
        </w:r>
      </w:hyperlink>
    </w:p>
    <w:p w14:paraId="42C24329" w14:textId="349DBEBE" w:rsidR="004F774D" w:rsidRDefault="004F774D">
      <w:pPr>
        <w:contextualSpacing w:val="0"/>
        <w:rPr>
          <w:rFonts w:ascii="Calibri" w:eastAsia="Calibri" w:hAnsi="Calibri" w:cs="Calibri"/>
        </w:rPr>
      </w:pPr>
      <w:r>
        <w:rPr>
          <w:rFonts w:ascii="Calibri" w:eastAsia="Calibri" w:hAnsi="Calibri" w:cs="Calibri"/>
        </w:rPr>
        <w:t>+6</w:t>
      </w:r>
      <w:r w:rsidR="00174BB5">
        <w:rPr>
          <w:rFonts w:ascii="Calibri" w:eastAsia="Calibri" w:hAnsi="Calibri" w:cs="Calibri"/>
        </w:rPr>
        <w:t xml:space="preserve">6 639466597 </w:t>
      </w:r>
    </w:p>
    <w:p w14:paraId="0568C7F4" w14:textId="20D65AF8" w:rsidR="00277DF2" w:rsidRDefault="00277DF2">
      <w:pPr>
        <w:contextualSpacing w:val="0"/>
        <w:rPr>
          <w:rFonts w:ascii="Calibri" w:eastAsia="Calibri" w:hAnsi="Calibri" w:cs="Calibri"/>
        </w:rPr>
      </w:pPr>
    </w:p>
    <w:p w14:paraId="1FCB8DEB" w14:textId="22AB4DDA" w:rsidR="00277DF2" w:rsidRDefault="00B72EE2">
      <w:pPr>
        <w:contextualSpacing w:val="0"/>
        <w:rPr>
          <w:rFonts w:ascii="Calibri" w:eastAsia="Calibri" w:hAnsi="Calibri" w:cs="Calibri"/>
          <w:b/>
        </w:rPr>
      </w:pPr>
      <w:r>
        <w:rPr>
          <w:rFonts w:ascii="Calibri" w:eastAsia="Calibri" w:hAnsi="Calibri" w:cs="Calibri"/>
          <w:b/>
        </w:rPr>
        <w:t>Asia Internet Coalition</w:t>
      </w:r>
    </w:p>
    <w:p w14:paraId="5F1045A3" w14:textId="77777777" w:rsidR="00277DF2" w:rsidRDefault="00B72EE2">
      <w:pPr>
        <w:contextualSpacing w:val="0"/>
        <w:rPr>
          <w:rFonts w:ascii="Calibri" w:eastAsia="Calibri" w:hAnsi="Calibri" w:cs="Calibri"/>
        </w:rPr>
      </w:pPr>
      <w:r>
        <w:rPr>
          <w:rFonts w:ascii="Calibri" w:eastAsia="Calibri" w:hAnsi="Calibri" w:cs="Calibri"/>
        </w:rPr>
        <w:t>Sam Lim</w:t>
      </w:r>
    </w:p>
    <w:p w14:paraId="324D63F5" w14:textId="1647921D" w:rsidR="004F774D" w:rsidRDefault="00B72EE2">
      <w:pPr>
        <w:contextualSpacing w:val="0"/>
        <w:rPr>
          <w:rFonts w:ascii="Calibri" w:eastAsia="Calibri" w:hAnsi="Calibri" w:cs="Calibri"/>
        </w:rPr>
      </w:pPr>
      <w:r>
        <w:rPr>
          <w:rFonts w:ascii="Calibri" w:eastAsia="Calibri" w:hAnsi="Calibri" w:cs="Calibri"/>
        </w:rPr>
        <w:t>aic@teneostrategy.co</w:t>
      </w:r>
      <w:r w:rsidR="00174BB5">
        <w:rPr>
          <w:rFonts w:ascii="Calibri" w:eastAsia="Calibri" w:hAnsi="Calibri" w:cs="Calibri"/>
        </w:rPr>
        <w:t>m</w:t>
      </w:r>
    </w:p>
    <w:p w14:paraId="25EB73F2" w14:textId="77777777" w:rsidR="00277DF2" w:rsidRDefault="00B72EE2">
      <w:pPr>
        <w:contextualSpacing w:val="0"/>
        <w:rPr>
          <w:rFonts w:ascii="Calibri" w:eastAsia="Calibri" w:hAnsi="Calibri" w:cs="Calibri"/>
        </w:rPr>
      </w:pPr>
      <w:r>
        <w:rPr>
          <w:rFonts w:ascii="Calibri" w:eastAsia="Calibri" w:hAnsi="Calibri" w:cs="Calibri"/>
        </w:rPr>
        <w:t>+65 8410 8007</w:t>
      </w:r>
    </w:p>
    <w:p w14:paraId="54CBC249" w14:textId="77777777" w:rsidR="00277DF2" w:rsidRDefault="00277DF2">
      <w:pPr>
        <w:contextualSpacing w:val="0"/>
        <w:rPr>
          <w:rFonts w:ascii="Calibri" w:eastAsia="Calibri" w:hAnsi="Calibri" w:cs="Calibri"/>
        </w:rPr>
      </w:pPr>
    </w:p>
    <w:sectPr w:rsidR="00277D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F4214C"/>
    <w:multiLevelType w:val="multilevel"/>
    <w:tmpl w:val="2D8C9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DF2"/>
    <w:rsid w:val="0002717E"/>
    <w:rsid w:val="00085B61"/>
    <w:rsid w:val="000A3D23"/>
    <w:rsid w:val="000F59C1"/>
    <w:rsid w:val="000F5EB4"/>
    <w:rsid w:val="00174BB5"/>
    <w:rsid w:val="001C64B9"/>
    <w:rsid w:val="00212396"/>
    <w:rsid w:val="00277DF2"/>
    <w:rsid w:val="002807A3"/>
    <w:rsid w:val="002B110A"/>
    <w:rsid w:val="0032181E"/>
    <w:rsid w:val="00446D93"/>
    <w:rsid w:val="004A122D"/>
    <w:rsid w:val="004F774D"/>
    <w:rsid w:val="005012F7"/>
    <w:rsid w:val="00511FB7"/>
    <w:rsid w:val="005B74EB"/>
    <w:rsid w:val="006B46E1"/>
    <w:rsid w:val="007D7CA3"/>
    <w:rsid w:val="007E0AD6"/>
    <w:rsid w:val="008F5904"/>
    <w:rsid w:val="009174B2"/>
    <w:rsid w:val="0093753B"/>
    <w:rsid w:val="00A467BA"/>
    <w:rsid w:val="00A83E6C"/>
    <w:rsid w:val="00B72EE2"/>
    <w:rsid w:val="00BE0A02"/>
    <w:rsid w:val="00C033BF"/>
    <w:rsid w:val="00C724F3"/>
    <w:rsid w:val="00C96ACA"/>
    <w:rsid w:val="00D0173B"/>
    <w:rsid w:val="00DA0B2C"/>
    <w:rsid w:val="00E33A41"/>
    <w:rsid w:val="00E64A37"/>
    <w:rsid w:val="00E903DE"/>
    <w:rsid w:val="00E958A8"/>
    <w:rsid w:val="00F539D0"/>
    <w:rsid w:val="00F7625B"/>
    <w:rsid w:val="00FF08BB"/>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D1E7"/>
  <w15:docId w15:val="{AD4F18DA-6B2C-42F1-AD6B-4B27D751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2B110A"/>
    <w:rPr>
      <w:sz w:val="16"/>
      <w:szCs w:val="16"/>
    </w:rPr>
  </w:style>
  <w:style w:type="paragraph" w:styleId="CommentText">
    <w:name w:val="annotation text"/>
    <w:basedOn w:val="Normal"/>
    <w:link w:val="CommentTextChar"/>
    <w:uiPriority w:val="99"/>
    <w:semiHidden/>
    <w:unhideWhenUsed/>
    <w:rsid w:val="002B110A"/>
    <w:pPr>
      <w:spacing w:line="240" w:lineRule="auto"/>
    </w:pPr>
    <w:rPr>
      <w:sz w:val="20"/>
      <w:szCs w:val="20"/>
    </w:rPr>
  </w:style>
  <w:style w:type="character" w:customStyle="1" w:styleId="CommentTextChar">
    <w:name w:val="Comment Text Char"/>
    <w:basedOn w:val="DefaultParagraphFont"/>
    <w:link w:val="CommentText"/>
    <w:uiPriority w:val="99"/>
    <w:semiHidden/>
    <w:rsid w:val="002B110A"/>
    <w:rPr>
      <w:sz w:val="20"/>
      <w:szCs w:val="20"/>
    </w:rPr>
  </w:style>
  <w:style w:type="paragraph" w:styleId="CommentSubject">
    <w:name w:val="annotation subject"/>
    <w:basedOn w:val="CommentText"/>
    <w:next w:val="CommentText"/>
    <w:link w:val="CommentSubjectChar"/>
    <w:uiPriority w:val="99"/>
    <w:semiHidden/>
    <w:unhideWhenUsed/>
    <w:rsid w:val="002B110A"/>
    <w:rPr>
      <w:b/>
      <w:bCs/>
    </w:rPr>
  </w:style>
  <w:style w:type="character" w:customStyle="1" w:styleId="CommentSubjectChar">
    <w:name w:val="Comment Subject Char"/>
    <w:basedOn w:val="CommentTextChar"/>
    <w:link w:val="CommentSubject"/>
    <w:uiPriority w:val="99"/>
    <w:semiHidden/>
    <w:rsid w:val="002B110A"/>
    <w:rPr>
      <w:b/>
      <w:bCs/>
      <w:sz w:val="20"/>
      <w:szCs w:val="20"/>
    </w:rPr>
  </w:style>
  <w:style w:type="paragraph" w:styleId="BalloonText">
    <w:name w:val="Balloon Text"/>
    <w:basedOn w:val="Normal"/>
    <w:link w:val="BalloonTextChar"/>
    <w:uiPriority w:val="99"/>
    <w:semiHidden/>
    <w:unhideWhenUsed/>
    <w:rsid w:val="002B11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10A"/>
    <w:rPr>
      <w:rFonts w:ascii="Segoe UI" w:hAnsi="Segoe UI" w:cs="Segoe UI"/>
      <w:sz w:val="18"/>
      <w:szCs w:val="18"/>
    </w:rPr>
  </w:style>
  <w:style w:type="character" w:styleId="Hyperlink">
    <w:name w:val="Hyperlink"/>
    <w:basedOn w:val="DefaultParagraphFont"/>
    <w:uiPriority w:val="99"/>
    <w:unhideWhenUsed/>
    <w:rsid w:val="00E903DE"/>
    <w:rPr>
      <w:color w:val="0000FF" w:themeColor="hyperlink"/>
      <w:u w:val="single"/>
    </w:rPr>
  </w:style>
  <w:style w:type="character" w:customStyle="1" w:styleId="UnresolvedMention1">
    <w:name w:val="Unresolved Mention1"/>
    <w:basedOn w:val="DefaultParagraphFont"/>
    <w:uiPriority w:val="99"/>
    <w:semiHidden/>
    <w:unhideWhenUsed/>
    <w:rsid w:val="00E903DE"/>
    <w:rPr>
      <w:color w:val="808080"/>
      <w:shd w:val="clear" w:color="auto" w:fill="E6E6E6"/>
    </w:rPr>
  </w:style>
  <w:style w:type="character" w:styleId="UnresolvedMention">
    <w:name w:val="Unresolved Mention"/>
    <w:basedOn w:val="DefaultParagraphFont"/>
    <w:uiPriority w:val="99"/>
    <w:semiHidden/>
    <w:unhideWhenUsed/>
    <w:rsid w:val="00501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atsupang@gmail.com" TargetMode="External"/><Relationship Id="rId3" Type="http://schemas.openxmlformats.org/officeDocument/2006/relationships/settings" Target="settings.xml"/><Relationship Id="rId7" Type="http://schemas.openxmlformats.org/officeDocument/2006/relationships/hyperlink" Target="http://www.aicas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menon</dc:creator>
  <cp:lastModifiedBy>Jamie Menon</cp:lastModifiedBy>
  <cp:revision>3</cp:revision>
  <dcterms:created xsi:type="dcterms:W3CDTF">2018-09-06T00:32:00Z</dcterms:created>
  <dcterms:modified xsi:type="dcterms:W3CDTF">2018-09-06T00:32:00Z</dcterms:modified>
</cp:coreProperties>
</file>